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925"/>
      </w:tblGrid>
      <w:tr w:rsidR="00807C3A" w14:paraId="4306531E" w14:textId="77777777" w:rsidTr="00807C3A">
        <w:tc>
          <w:tcPr>
            <w:tcW w:w="2425" w:type="dxa"/>
          </w:tcPr>
          <w:p w14:paraId="75DACBD9" w14:textId="72EFC676" w:rsidR="00807C3A" w:rsidRPr="00807C3A" w:rsidRDefault="00807C3A">
            <w:pPr>
              <w:rPr>
                <w:rFonts w:cstheme="minorHAnsi"/>
                <w:b/>
                <w:bCs/>
              </w:rPr>
            </w:pPr>
            <w:r w:rsidRPr="00807C3A">
              <w:rPr>
                <w:rFonts w:cstheme="minorHAnsi"/>
                <w:b/>
                <w:bCs/>
              </w:rPr>
              <w:t>Assistantship Type:</w:t>
            </w:r>
          </w:p>
        </w:tc>
        <w:tc>
          <w:tcPr>
            <w:tcW w:w="6925" w:type="dxa"/>
          </w:tcPr>
          <w:p w14:paraId="2BC8C0F2" w14:textId="77777777" w:rsidR="00807C3A" w:rsidRDefault="00807C3A">
            <w:pPr>
              <w:rPr>
                <w:rFonts w:cstheme="minorHAnsi"/>
              </w:rPr>
            </w:pPr>
            <w:r w:rsidRPr="00807C3A">
              <w:rPr>
                <w:rFonts w:cstheme="minorHAnsi"/>
              </w:rPr>
              <w:t>Project Assistantship (PA)</w:t>
            </w:r>
          </w:p>
          <w:p w14:paraId="65CB4AED" w14:textId="3BC9121D" w:rsidR="00807C3A" w:rsidRPr="00807C3A" w:rsidRDefault="00807C3A">
            <w:pPr>
              <w:rPr>
                <w:rFonts w:cstheme="minorHAnsi"/>
              </w:rPr>
            </w:pPr>
          </w:p>
        </w:tc>
      </w:tr>
      <w:tr w:rsidR="00807C3A" w14:paraId="46602F32" w14:textId="77777777" w:rsidTr="00807C3A">
        <w:tc>
          <w:tcPr>
            <w:tcW w:w="2425" w:type="dxa"/>
          </w:tcPr>
          <w:p w14:paraId="64AF8AC0" w14:textId="62E61939" w:rsidR="00807C3A" w:rsidRPr="00807C3A" w:rsidRDefault="00807C3A">
            <w:pPr>
              <w:rPr>
                <w:rFonts w:cstheme="minorHAnsi"/>
                <w:b/>
                <w:bCs/>
              </w:rPr>
            </w:pPr>
            <w:r w:rsidRPr="00807C3A">
              <w:rPr>
                <w:rFonts w:cstheme="minorHAnsi"/>
                <w:b/>
                <w:bCs/>
              </w:rPr>
              <w:t>Department:</w:t>
            </w:r>
          </w:p>
        </w:tc>
        <w:tc>
          <w:tcPr>
            <w:tcW w:w="6925" w:type="dxa"/>
          </w:tcPr>
          <w:p w14:paraId="1BEA8F95" w14:textId="77777777" w:rsidR="00807C3A" w:rsidRDefault="00807C3A">
            <w:pPr>
              <w:rPr>
                <w:rFonts w:cstheme="minorHAnsi"/>
              </w:rPr>
            </w:pPr>
            <w:r w:rsidRPr="00807C3A">
              <w:rPr>
                <w:rFonts w:cstheme="minorHAnsi"/>
              </w:rPr>
              <w:t>Center for Southwest Research &amp; Special Collections, College of University Libraries and Learning Sciences</w:t>
            </w:r>
          </w:p>
          <w:p w14:paraId="3D6AD452" w14:textId="4F9ED8A8" w:rsidR="00807C3A" w:rsidRPr="00807C3A" w:rsidRDefault="00807C3A">
            <w:pPr>
              <w:rPr>
                <w:rFonts w:cstheme="minorHAnsi"/>
              </w:rPr>
            </w:pPr>
          </w:p>
        </w:tc>
      </w:tr>
      <w:tr w:rsidR="00807C3A" w14:paraId="57D26E5F" w14:textId="77777777" w:rsidTr="00807C3A">
        <w:tc>
          <w:tcPr>
            <w:tcW w:w="2425" w:type="dxa"/>
          </w:tcPr>
          <w:p w14:paraId="72FF7018" w14:textId="40E66CBB" w:rsidR="00807C3A" w:rsidRPr="00807C3A" w:rsidRDefault="00807C3A">
            <w:pPr>
              <w:rPr>
                <w:rFonts w:cstheme="minorHAnsi"/>
                <w:b/>
                <w:bCs/>
              </w:rPr>
            </w:pPr>
            <w:r w:rsidRPr="00807C3A">
              <w:rPr>
                <w:rFonts w:cstheme="minorHAnsi"/>
                <w:b/>
                <w:bCs/>
              </w:rPr>
              <w:t>Pay Rate:</w:t>
            </w:r>
          </w:p>
        </w:tc>
        <w:tc>
          <w:tcPr>
            <w:tcW w:w="6925" w:type="dxa"/>
          </w:tcPr>
          <w:p w14:paraId="6CAE9510" w14:textId="63765E86" w:rsidR="00807C3A" w:rsidRPr="0090262C" w:rsidRDefault="0090262C">
            <w:pPr>
              <w:rPr>
                <w:rFonts w:cstheme="minorHAnsi"/>
              </w:rPr>
            </w:pPr>
            <w:r w:rsidRPr="0090262C">
              <w:rPr>
                <w:rFonts w:eastAsia="Times New Roman" w:cstheme="minorHAnsi"/>
                <w:color w:val="000000"/>
              </w:rPr>
              <w:t>$25.45–$30.41 per hour</w:t>
            </w:r>
          </w:p>
          <w:p w14:paraId="4C7C4E3E" w14:textId="040FC96A" w:rsidR="00807C3A" w:rsidRPr="00807C3A" w:rsidRDefault="00807C3A">
            <w:pPr>
              <w:rPr>
                <w:rFonts w:cstheme="minorHAnsi"/>
              </w:rPr>
            </w:pPr>
          </w:p>
        </w:tc>
      </w:tr>
      <w:tr w:rsidR="00807C3A" w14:paraId="23D726FA" w14:textId="77777777" w:rsidTr="00807C3A">
        <w:tc>
          <w:tcPr>
            <w:tcW w:w="2425" w:type="dxa"/>
          </w:tcPr>
          <w:p w14:paraId="3EE12826" w14:textId="2D5F2C36" w:rsidR="00807C3A" w:rsidRPr="00807C3A" w:rsidRDefault="00807C3A">
            <w:pPr>
              <w:rPr>
                <w:rFonts w:cstheme="minorHAnsi"/>
                <w:b/>
                <w:bCs/>
              </w:rPr>
            </w:pPr>
            <w:r w:rsidRPr="00807C3A">
              <w:rPr>
                <w:rFonts w:cstheme="minorHAnsi"/>
                <w:b/>
                <w:bCs/>
              </w:rPr>
              <w:t>Tuition Award:</w:t>
            </w:r>
          </w:p>
        </w:tc>
        <w:tc>
          <w:tcPr>
            <w:tcW w:w="6925" w:type="dxa"/>
          </w:tcPr>
          <w:p w14:paraId="73540A94" w14:textId="77777777" w:rsidR="00807C3A" w:rsidRDefault="00807C3A">
            <w:pPr>
              <w:rPr>
                <w:rFonts w:cstheme="minorHAnsi"/>
              </w:rPr>
            </w:pPr>
            <w:r w:rsidRPr="00807C3A">
              <w:rPr>
                <w:rFonts w:cstheme="minorHAnsi"/>
              </w:rPr>
              <w:t>None</w:t>
            </w:r>
          </w:p>
          <w:p w14:paraId="5ECE1A63" w14:textId="109305D9" w:rsidR="00807C3A" w:rsidRPr="00807C3A" w:rsidRDefault="00807C3A">
            <w:pPr>
              <w:rPr>
                <w:rFonts w:cstheme="minorHAnsi"/>
              </w:rPr>
            </w:pPr>
          </w:p>
        </w:tc>
      </w:tr>
      <w:tr w:rsidR="00807C3A" w14:paraId="0425729E" w14:textId="77777777" w:rsidTr="00807C3A">
        <w:tc>
          <w:tcPr>
            <w:tcW w:w="2425" w:type="dxa"/>
          </w:tcPr>
          <w:p w14:paraId="0FFF0496" w14:textId="26E75644" w:rsidR="00807C3A" w:rsidRPr="00807C3A" w:rsidRDefault="00807C3A">
            <w:pPr>
              <w:rPr>
                <w:rFonts w:cstheme="minorHAnsi"/>
                <w:b/>
                <w:bCs/>
              </w:rPr>
            </w:pPr>
            <w:r w:rsidRPr="00807C3A">
              <w:rPr>
                <w:rFonts w:cstheme="minorHAnsi"/>
                <w:b/>
                <w:bCs/>
              </w:rPr>
              <w:t>Benefit Eligibility:</w:t>
            </w:r>
          </w:p>
        </w:tc>
        <w:tc>
          <w:tcPr>
            <w:tcW w:w="6925" w:type="dxa"/>
          </w:tcPr>
          <w:p w14:paraId="3D4D371E" w14:textId="77777777" w:rsidR="00807C3A" w:rsidRDefault="00807C3A">
            <w:pPr>
              <w:rPr>
                <w:rFonts w:eastAsia="Times New Roman" w:cstheme="minorHAnsi"/>
                <w:color w:val="000000"/>
              </w:rPr>
            </w:pPr>
            <w:r w:rsidRPr="00807C3A">
              <w:rPr>
                <w:rFonts w:eastAsia="Times New Roman" w:cstheme="minorHAnsi"/>
                <w:color w:val="000000"/>
              </w:rPr>
              <w:t>Graduate students who hold an assistantship appointment of 0.25 FTE or greater for at least half of a semester (8 weeks) are eligible for 100% coverage of the health insurance premium through the University graduate student health care plan on a semester-by-semester basis.</w:t>
            </w:r>
          </w:p>
          <w:p w14:paraId="455FB812" w14:textId="7A26CB2B" w:rsidR="00807C3A" w:rsidRPr="00807C3A" w:rsidRDefault="00807C3A">
            <w:pPr>
              <w:rPr>
                <w:rFonts w:cstheme="minorHAnsi"/>
              </w:rPr>
            </w:pPr>
          </w:p>
        </w:tc>
      </w:tr>
      <w:tr w:rsidR="00807C3A" w14:paraId="5BEA8005" w14:textId="77777777" w:rsidTr="00807C3A">
        <w:tc>
          <w:tcPr>
            <w:tcW w:w="2425" w:type="dxa"/>
          </w:tcPr>
          <w:p w14:paraId="2BAAD657" w14:textId="4FF9E9B0" w:rsidR="00807C3A" w:rsidRPr="00807C3A" w:rsidRDefault="00807C3A">
            <w:pPr>
              <w:rPr>
                <w:rFonts w:cstheme="minorHAnsi"/>
                <w:b/>
                <w:bCs/>
              </w:rPr>
            </w:pPr>
            <w:r w:rsidRPr="00807C3A">
              <w:rPr>
                <w:rFonts w:cstheme="minorHAnsi"/>
                <w:b/>
                <w:bCs/>
              </w:rPr>
              <w:t>Anticipated Terms:</w:t>
            </w:r>
          </w:p>
        </w:tc>
        <w:tc>
          <w:tcPr>
            <w:tcW w:w="6925" w:type="dxa"/>
          </w:tcPr>
          <w:p w14:paraId="3006483B" w14:textId="77777777" w:rsidR="00807C3A" w:rsidRDefault="00807C3A">
            <w:pPr>
              <w:rPr>
                <w:rFonts w:cstheme="minorHAnsi"/>
              </w:rPr>
            </w:pPr>
            <w:r w:rsidRPr="00807C3A">
              <w:rPr>
                <w:rFonts w:cstheme="minorHAnsi"/>
              </w:rPr>
              <w:t>Fall 2026</w:t>
            </w:r>
          </w:p>
          <w:p w14:paraId="53ED9142" w14:textId="56485589" w:rsidR="00807C3A" w:rsidRPr="00807C3A" w:rsidRDefault="00807C3A">
            <w:pPr>
              <w:rPr>
                <w:rFonts w:cstheme="minorHAnsi"/>
              </w:rPr>
            </w:pPr>
          </w:p>
        </w:tc>
      </w:tr>
      <w:tr w:rsidR="00807C3A" w14:paraId="40D44311" w14:textId="77777777" w:rsidTr="00807C3A">
        <w:tc>
          <w:tcPr>
            <w:tcW w:w="2425" w:type="dxa"/>
          </w:tcPr>
          <w:p w14:paraId="4E3E20FF" w14:textId="0A2D8CE1" w:rsidR="00807C3A" w:rsidRPr="00807C3A" w:rsidRDefault="00807C3A">
            <w:pPr>
              <w:rPr>
                <w:rFonts w:cstheme="minorHAnsi"/>
                <w:b/>
                <w:bCs/>
              </w:rPr>
            </w:pPr>
            <w:r w:rsidRPr="00807C3A">
              <w:rPr>
                <w:rFonts w:cstheme="minorHAnsi"/>
                <w:b/>
                <w:bCs/>
              </w:rPr>
              <w:t>Appointment Percent:</w:t>
            </w:r>
          </w:p>
        </w:tc>
        <w:tc>
          <w:tcPr>
            <w:tcW w:w="6925" w:type="dxa"/>
          </w:tcPr>
          <w:p w14:paraId="36F10B29" w14:textId="77777777" w:rsidR="00807C3A" w:rsidRDefault="00807C3A">
            <w:pPr>
              <w:rPr>
                <w:rFonts w:cstheme="minorHAnsi"/>
              </w:rPr>
            </w:pPr>
            <w:r w:rsidRPr="00807C3A">
              <w:rPr>
                <w:rFonts w:cstheme="minorHAnsi"/>
              </w:rPr>
              <w:t>50% (0.50 FTE)</w:t>
            </w:r>
          </w:p>
          <w:p w14:paraId="4084C708" w14:textId="7C0DC2A4" w:rsidR="00807C3A" w:rsidRPr="00807C3A" w:rsidRDefault="00807C3A">
            <w:pPr>
              <w:rPr>
                <w:rFonts w:cstheme="minorHAnsi"/>
              </w:rPr>
            </w:pPr>
          </w:p>
        </w:tc>
      </w:tr>
      <w:tr w:rsidR="00807C3A" w14:paraId="3706B25E" w14:textId="77777777" w:rsidTr="00807C3A">
        <w:tc>
          <w:tcPr>
            <w:tcW w:w="2425" w:type="dxa"/>
          </w:tcPr>
          <w:p w14:paraId="2A1DAFC1" w14:textId="3299B2A8" w:rsidR="00807C3A" w:rsidRPr="00807C3A" w:rsidRDefault="00807C3A">
            <w:pPr>
              <w:rPr>
                <w:rFonts w:cstheme="minorHAnsi"/>
                <w:b/>
                <w:bCs/>
              </w:rPr>
            </w:pPr>
            <w:r w:rsidRPr="00807C3A">
              <w:rPr>
                <w:rFonts w:cstheme="minorHAnsi"/>
                <w:b/>
                <w:bCs/>
              </w:rPr>
              <w:t>Application Deadline:</w:t>
            </w:r>
          </w:p>
        </w:tc>
        <w:tc>
          <w:tcPr>
            <w:tcW w:w="6925" w:type="dxa"/>
          </w:tcPr>
          <w:p w14:paraId="0CDC8CBC" w14:textId="09AEA82A" w:rsidR="00807C3A" w:rsidRDefault="00807C3A">
            <w:pPr>
              <w:rPr>
                <w:rFonts w:cstheme="minorHAnsi"/>
              </w:rPr>
            </w:pPr>
            <w:r w:rsidRPr="00807C3A">
              <w:rPr>
                <w:rFonts w:cstheme="minorHAnsi"/>
              </w:rPr>
              <w:t>July 2</w:t>
            </w:r>
            <w:r w:rsidR="0090262C">
              <w:rPr>
                <w:rFonts w:cstheme="minorHAnsi"/>
              </w:rPr>
              <w:t>2</w:t>
            </w:r>
            <w:r w:rsidRPr="00807C3A">
              <w:rPr>
                <w:rFonts w:cstheme="minorHAnsi"/>
              </w:rPr>
              <w:t>, 2026</w:t>
            </w:r>
          </w:p>
          <w:p w14:paraId="4FEC4B04" w14:textId="5845E7DA" w:rsidR="00807C3A" w:rsidRPr="00807C3A" w:rsidRDefault="00807C3A">
            <w:pPr>
              <w:rPr>
                <w:rFonts w:cstheme="minorHAnsi"/>
              </w:rPr>
            </w:pPr>
          </w:p>
        </w:tc>
      </w:tr>
      <w:tr w:rsidR="00807C3A" w14:paraId="7998B2BF" w14:textId="77777777" w:rsidTr="00807C3A">
        <w:tc>
          <w:tcPr>
            <w:tcW w:w="2425" w:type="dxa"/>
          </w:tcPr>
          <w:p w14:paraId="19A803D3" w14:textId="72552C20" w:rsidR="00807C3A" w:rsidRPr="00807C3A" w:rsidRDefault="00807C3A">
            <w:pPr>
              <w:rPr>
                <w:rFonts w:cstheme="minorHAnsi"/>
                <w:b/>
                <w:bCs/>
              </w:rPr>
            </w:pPr>
            <w:r w:rsidRPr="00807C3A">
              <w:rPr>
                <w:rFonts w:cstheme="minorHAnsi"/>
                <w:b/>
                <w:bCs/>
              </w:rPr>
              <w:t>Position Summary:</w:t>
            </w:r>
          </w:p>
        </w:tc>
        <w:tc>
          <w:tcPr>
            <w:tcW w:w="6925" w:type="dxa"/>
          </w:tcPr>
          <w:p w14:paraId="4197891C" w14:textId="260B7C27" w:rsidR="0090262C" w:rsidRDefault="0090262C" w:rsidP="00807C3A">
            <w:pPr>
              <w:rPr>
                <w:rFonts w:ascii="Aptos" w:eastAsia="Times New Roman" w:hAnsi="Aptos"/>
                <w:color w:val="000000"/>
                <w:sz w:val="24"/>
                <w:szCs w:val="24"/>
              </w:rPr>
            </w:pPr>
            <w:r>
              <w:rPr>
                <w:rFonts w:ascii="Aptos" w:eastAsia="Times New Roman" w:hAnsi="Aptos"/>
                <w:color w:val="000000"/>
                <w:sz w:val="24"/>
                <w:szCs w:val="24"/>
              </w:rPr>
              <w:t>The University Archives Processing and Access Fellowship is significant for its role in improving public access to institutional records by supporting the processing and</w:t>
            </w:r>
            <w:r>
              <w:rPr>
                <w:rFonts w:ascii="Aptos" w:eastAsia="Times New Roman" w:hAnsi="Aptos"/>
                <w:color w:val="000000"/>
                <w:sz w:val="24"/>
                <w:szCs w:val="24"/>
              </w:rPr>
              <w:t>/or digitization and</w:t>
            </w:r>
            <w:r>
              <w:rPr>
                <w:rFonts w:ascii="Aptos" w:eastAsia="Times New Roman" w:hAnsi="Aptos"/>
                <w:color w:val="000000"/>
                <w:sz w:val="24"/>
                <w:szCs w:val="24"/>
              </w:rPr>
              <w:t xml:space="preserve"> online description of archival collections held by University Archives. Through hands-on work organizing, arranging, describing, and preserving archival materials, the fellow will complete a full processing </w:t>
            </w:r>
            <w:r>
              <w:rPr>
                <w:rFonts w:ascii="Aptos" w:eastAsia="Times New Roman" w:hAnsi="Aptos"/>
                <w:color w:val="000000"/>
                <w:sz w:val="24"/>
                <w:szCs w:val="24"/>
              </w:rPr>
              <w:t xml:space="preserve">or digitization </w:t>
            </w:r>
            <w:r>
              <w:rPr>
                <w:rFonts w:ascii="Aptos" w:eastAsia="Times New Roman" w:hAnsi="Aptos"/>
                <w:color w:val="000000"/>
                <w:sz w:val="24"/>
                <w:szCs w:val="24"/>
              </w:rPr>
              <w:t xml:space="preserve">project, including background research, the preparation of a historical or administrative note, and the creation of a finding aid for publication in New Mexico Archives Online. The fellowship’s goal is to provide a graduate student with practical training in archival processing while enhancing discovery, research use, and public engagement with UNM’s institutional history and the UNM Digital Repository. </w:t>
            </w:r>
          </w:p>
          <w:p w14:paraId="4EED30A5" w14:textId="77777777" w:rsidR="0090262C" w:rsidRDefault="0090262C" w:rsidP="00807C3A">
            <w:pPr>
              <w:rPr>
                <w:rFonts w:eastAsia="Times New Roman" w:cstheme="minorHAnsi"/>
                <w:color w:val="000000"/>
              </w:rPr>
            </w:pPr>
          </w:p>
          <w:p w14:paraId="619D12AC" w14:textId="77777777" w:rsidR="0090262C" w:rsidRPr="0090262C" w:rsidRDefault="0090262C" w:rsidP="0090262C">
            <w:pPr>
              <w:rPr>
                <w:rFonts w:eastAsia="Times New Roman" w:cstheme="minorHAnsi"/>
                <w:color w:val="000000"/>
              </w:rPr>
            </w:pPr>
            <w:r w:rsidRPr="0090262C">
              <w:rPr>
                <w:rFonts w:eastAsia="Times New Roman" w:cstheme="minorHAnsi"/>
                <w:color w:val="000000"/>
              </w:rPr>
              <w:t>This is a 50% FTE position (20 hours per week) beginning August 17, 2026, and ending December 12, 2026, with the possibility of renewal contingent upon the continuing availability of funds, satisfactory performance, and academic eligibility.</w:t>
            </w:r>
          </w:p>
          <w:p w14:paraId="60882269" w14:textId="77777777" w:rsidR="0090262C" w:rsidRPr="00807C3A" w:rsidRDefault="0090262C" w:rsidP="00807C3A">
            <w:pPr>
              <w:rPr>
                <w:rFonts w:eastAsia="Times New Roman" w:cstheme="minorHAnsi"/>
                <w:color w:val="000000"/>
              </w:rPr>
            </w:pPr>
          </w:p>
          <w:p w14:paraId="5DA76348" w14:textId="77777777" w:rsidR="00807C3A" w:rsidRPr="00807C3A" w:rsidRDefault="00807C3A">
            <w:pPr>
              <w:rPr>
                <w:rFonts w:cstheme="minorHAnsi"/>
              </w:rPr>
            </w:pPr>
          </w:p>
        </w:tc>
      </w:tr>
      <w:tr w:rsidR="00807C3A" w14:paraId="31FC4A84" w14:textId="77777777" w:rsidTr="00807C3A">
        <w:tc>
          <w:tcPr>
            <w:tcW w:w="2425" w:type="dxa"/>
          </w:tcPr>
          <w:p w14:paraId="38EEAACE" w14:textId="7DEBE3A7" w:rsidR="00807C3A" w:rsidRPr="00807C3A" w:rsidRDefault="00807C3A">
            <w:pPr>
              <w:rPr>
                <w:rFonts w:cstheme="minorHAnsi"/>
                <w:b/>
                <w:bCs/>
              </w:rPr>
            </w:pPr>
            <w:r w:rsidRPr="00807C3A">
              <w:rPr>
                <w:rFonts w:cstheme="minorHAnsi"/>
                <w:b/>
                <w:bCs/>
              </w:rPr>
              <w:t>Qualifications</w:t>
            </w:r>
          </w:p>
        </w:tc>
        <w:tc>
          <w:tcPr>
            <w:tcW w:w="6925" w:type="dxa"/>
          </w:tcPr>
          <w:p w14:paraId="18DF2F33" w14:textId="60561232" w:rsidR="00B7022D" w:rsidRPr="00B7022D" w:rsidRDefault="00B7022D" w:rsidP="00807C3A">
            <w:pPr>
              <w:numPr>
                <w:ilvl w:val="0"/>
                <w:numId w:val="1"/>
              </w:numPr>
              <w:rPr>
                <w:rFonts w:eastAsia="Times New Roman" w:cstheme="minorHAnsi"/>
                <w:color w:val="000000"/>
              </w:rPr>
            </w:pPr>
            <w:r>
              <w:rPr>
                <w:rFonts w:ascii="Aptos" w:eastAsia="Times New Roman" w:hAnsi="Aptos"/>
                <w:color w:val="000000"/>
                <w:sz w:val="24"/>
                <w:szCs w:val="24"/>
              </w:rPr>
              <w:t>Research and writing skills</w:t>
            </w:r>
            <w:r>
              <w:rPr>
                <w:rFonts w:ascii="Aptos" w:eastAsia="Times New Roman" w:hAnsi="Aptos"/>
                <w:color w:val="000000"/>
                <w:sz w:val="24"/>
                <w:szCs w:val="24"/>
              </w:rPr>
              <w:t>.</w:t>
            </w:r>
          </w:p>
          <w:p w14:paraId="58834817" w14:textId="06615DBF" w:rsidR="00B7022D" w:rsidRPr="00B7022D" w:rsidRDefault="00B7022D" w:rsidP="00807C3A">
            <w:pPr>
              <w:numPr>
                <w:ilvl w:val="0"/>
                <w:numId w:val="1"/>
              </w:numPr>
              <w:rPr>
                <w:rFonts w:eastAsia="Times New Roman" w:cstheme="minorHAnsi"/>
                <w:color w:val="000000"/>
              </w:rPr>
            </w:pPr>
            <w:r>
              <w:rPr>
                <w:rFonts w:ascii="Aptos" w:eastAsia="Times New Roman" w:hAnsi="Aptos"/>
                <w:color w:val="000000"/>
                <w:sz w:val="24"/>
                <w:szCs w:val="24"/>
              </w:rPr>
              <w:t>Academic degree or focus on UNM or institutional history and culture, Museum Studies American Studies or related disciplines</w:t>
            </w:r>
            <w:r>
              <w:rPr>
                <w:rFonts w:ascii="Aptos" w:eastAsia="Times New Roman" w:hAnsi="Aptos"/>
                <w:color w:val="000000"/>
                <w:sz w:val="24"/>
                <w:szCs w:val="24"/>
              </w:rPr>
              <w:t>.</w:t>
            </w:r>
          </w:p>
          <w:p w14:paraId="7E7AD438" w14:textId="4180D467" w:rsidR="00B7022D" w:rsidRPr="00B7022D" w:rsidRDefault="00B7022D" w:rsidP="00807C3A">
            <w:pPr>
              <w:numPr>
                <w:ilvl w:val="0"/>
                <w:numId w:val="1"/>
              </w:numPr>
              <w:rPr>
                <w:rFonts w:eastAsia="Times New Roman" w:cstheme="minorHAnsi"/>
                <w:color w:val="000000"/>
              </w:rPr>
            </w:pPr>
            <w:r>
              <w:rPr>
                <w:rFonts w:ascii="Aptos" w:eastAsia="Times New Roman" w:hAnsi="Aptos"/>
                <w:color w:val="000000"/>
                <w:sz w:val="24"/>
                <w:szCs w:val="24"/>
              </w:rPr>
              <w:t>W</w:t>
            </w:r>
            <w:r>
              <w:rPr>
                <w:rFonts w:ascii="Aptos" w:eastAsia="Times New Roman" w:hAnsi="Aptos"/>
                <w:color w:val="000000"/>
                <w:sz w:val="24"/>
                <w:szCs w:val="24"/>
              </w:rPr>
              <w:t>orking skills using OCR applications</w:t>
            </w:r>
            <w:r>
              <w:rPr>
                <w:rFonts w:ascii="Aptos" w:eastAsia="Times New Roman" w:hAnsi="Aptos"/>
                <w:color w:val="000000"/>
                <w:sz w:val="24"/>
                <w:szCs w:val="24"/>
              </w:rPr>
              <w:t>.</w:t>
            </w:r>
          </w:p>
          <w:p w14:paraId="497CA01E" w14:textId="05C3BEF1" w:rsidR="00B7022D" w:rsidRPr="00B7022D" w:rsidRDefault="00B7022D" w:rsidP="00807C3A">
            <w:pPr>
              <w:numPr>
                <w:ilvl w:val="0"/>
                <w:numId w:val="1"/>
              </w:numPr>
              <w:rPr>
                <w:rFonts w:eastAsia="Times New Roman" w:cstheme="minorHAnsi"/>
                <w:color w:val="000000"/>
              </w:rPr>
            </w:pPr>
            <w:r>
              <w:rPr>
                <w:rFonts w:ascii="Aptos" w:eastAsia="Times New Roman" w:hAnsi="Aptos"/>
                <w:color w:val="000000"/>
                <w:sz w:val="24"/>
                <w:szCs w:val="24"/>
              </w:rPr>
              <w:lastRenderedPageBreak/>
              <w:t>A</w:t>
            </w:r>
            <w:r>
              <w:rPr>
                <w:rFonts w:ascii="Aptos" w:eastAsia="Times New Roman" w:hAnsi="Aptos"/>
                <w:color w:val="000000"/>
                <w:sz w:val="24"/>
                <w:szCs w:val="24"/>
              </w:rPr>
              <w:t>bility to scan images and work with metadata and online repositories</w:t>
            </w:r>
            <w:r>
              <w:rPr>
                <w:rFonts w:ascii="Aptos" w:eastAsia="Times New Roman" w:hAnsi="Aptos"/>
                <w:color w:val="000000"/>
                <w:sz w:val="24"/>
                <w:szCs w:val="24"/>
              </w:rPr>
              <w:t>.</w:t>
            </w:r>
          </w:p>
          <w:p w14:paraId="1A0F4A5C" w14:textId="24E87B02" w:rsidR="00B7022D" w:rsidRPr="00B7022D" w:rsidRDefault="00B7022D" w:rsidP="00807C3A">
            <w:pPr>
              <w:numPr>
                <w:ilvl w:val="0"/>
                <w:numId w:val="1"/>
              </w:numPr>
              <w:rPr>
                <w:rFonts w:eastAsia="Times New Roman" w:cstheme="minorHAnsi"/>
                <w:color w:val="000000"/>
              </w:rPr>
            </w:pPr>
            <w:r>
              <w:rPr>
                <w:rFonts w:ascii="Aptos" w:eastAsia="Times New Roman" w:hAnsi="Aptos"/>
                <w:color w:val="000000"/>
                <w:sz w:val="24"/>
                <w:szCs w:val="24"/>
              </w:rPr>
              <w:t>K</w:t>
            </w:r>
            <w:r>
              <w:rPr>
                <w:rFonts w:ascii="Aptos" w:eastAsia="Times New Roman" w:hAnsi="Aptos"/>
                <w:color w:val="000000"/>
                <w:sz w:val="24"/>
                <w:szCs w:val="24"/>
              </w:rPr>
              <w:t>nowledge of Microsoft office suite including Excel spreadsheets</w:t>
            </w:r>
            <w:r>
              <w:rPr>
                <w:rFonts w:ascii="Aptos" w:eastAsia="Times New Roman" w:hAnsi="Aptos"/>
                <w:color w:val="000000"/>
                <w:sz w:val="24"/>
                <w:szCs w:val="24"/>
              </w:rPr>
              <w:t>.</w:t>
            </w:r>
          </w:p>
          <w:p w14:paraId="75B574A4" w14:textId="4D178327" w:rsidR="00807C3A" w:rsidRPr="00807C3A" w:rsidRDefault="00807C3A" w:rsidP="00807C3A">
            <w:pPr>
              <w:numPr>
                <w:ilvl w:val="0"/>
                <w:numId w:val="1"/>
              </w:numPr>
              <w:rPr>
                <w:rFonts w:eastAsia="Times New Roman" w:cstheme="minorHAnsi"/>
                <w:color w:val="000000"/>
              </w:rPr>
            </w:pPr>
            <w:r w:rsidRPr="00807C3A">
              <w:rPr>
                <w:rFonts w:eastAsia="Times New Roman" w:cstheme="minorHAnsi"/>
                <w:color w:val="000000"/>
              </w:rPr>
              <w:t>Excellent organizational and time-management skills.</w:t>
            </w:r>
          </w:p>
          <w:p w14:paraId="4D489E87" w14:textId="77777777" w:rsidR="00807C3A" w:rsidRPr="00807C3A" w:rsidRDefault="00807C3A" w:rsidP="00807C3A">
            <w:pPr>
              <w:numPr>
                <w:ilvl w:val="0"/>
                <w:numId w:val="1"/>
              </w:numPr>
              <w:rPr>
                <w:rFonts w:eastAsia="Times New Roman" w:cstheme="minorHAnsi"/>
                <w:color w:val="000000"/>
              </w:rPr>
            </w:pPr>
            <w:r w:rsidRPr="00807C3A">
              <w:rPr>
                <w:rFonts w:eastAsia="Times New Roman" w:cstheme="minorHAnsi"/>
                <w:color w:val="000000"/>
              </w:rPr>
              <w:t>Demonstrated ability to work independently and manage projects effectively.</w:t>
            </w:r>
          </w:p>
          <w:p w14:paraId="75F6910F" w14:textId="77777777" w:rsidR="00807C3A" w:rsidRPr="00807C3A" w:rsidRDefault="00807C3A" w:rsidP="00807C3A">
            <w:pPr>
              <w:numPr>
                <w:ilvl w:val="0"/>
                <w:numId w:val="1"/>
              </w:numPr>
              <w:rPr>
                <w:rFonts w:eastAsia="Times New Roman" w:cstheme="minorHAnsi"/>
                <w:color w:val="000000"/>
              </w:rPr>
            </w:pPr>
            <w:r w:rsidRPr="00807C3A">
              <w:rPr>
                <w:rFonts w:eastAsia="Times New Roman" w:cstheme="minorHAnsi"/>
                <w:color w:val="000000"/>
              </w:rPr>
              <w:t>Availability to work 20 hours per week in person at CSWR.</w:t>
            </w:r>
          </w:p>
          <w:p w14:paraId="371B6B9E" w14:textId="77777777" w:rsidR="00807C3A" w:rsidRPr="00807C3A" w:rsidRDefault="00807C3A">
            <w:pPr>
              <w:rPr>
                <w:rFonts w:cstheme="minorHAnsi"/>
              </w:rPr>
            </w:pPr>
          </w:p>
        </w:tc>
      </w:tr>
    </w:tbl>
    <w:p w14:paraId="6B574836" w14:textId="77777777" w:rsidR="0090262C" w:rsidRPr="0090262C" w:rsidRDefault="0090262C" w:rsidP="0090262C">
      <w:pPr>
        <w:spacing w:after="0" w:line="240" w:lineRule="auto"/>
        <w:rPr>
          <w:rFonts w:eastAsia="Times New Roman" w:cstheme="minorHAnsi"/>
          <w:b/>
          <w:bCs/>
          <w:color w:val="000000"/>
        </w:rPr>
      </w:pPr>
      <w:r w:rsidRPr="0090262C">
        <w:rPr>
          <w:rFonts w:eastAsia="Times New Roman" w:cstheme="minorHAnsi"/>
          <w:b/>
          <w:bCs/>
          <w:color w:val="000000"/>
        </w:rPr>
        <w:lastRenderedPageBreak/>
        <w:t>Duties and Responsibilities</w:t>
      </w:r>
    </w:p>
    <w:p w14:paraId="61BFA5B0" w14:textId="324D0F98" w:rsidR="00B7022D" w:rsidRPr="00B7022D" w:rsidRDefault="00B7022D" w:rsidP="0090262C">
      <w:pPr>
        <w:numPr>
          <w:ilvl w:val="0"/>
          <w:numId w:val="2"/>
        </w:numPr>
        <w:spacing w:after="0" w:line="240" w:lineRule="auto"/>
        <w:rPr>
          <w:rFonts w:eastAsia="Times New Roman" w:cstheme="minorHAnsi"/>
          <w:color w:val="000000"/>
        </w:rPr>
      </w:pPr>
      <w:r>
        <w:rPr>
          <w:rFonts w:ascii="Aptos" w:eastAsia="Times New Roman" w:hAnsi="Aptos"/>
          <w:color w:val="000000"/>
          <w:sz w:val="24"/>
          <w:szCs w:val="24"/>
        </w:rPr>
        <w:t>Select and process a University Archives collection to improve public access, including organizing, arranging, and describing archival materials in accordance with professional archival standards</w:t>
      </w:r>
      <w:r>
        <w:rPr>
          <w:rFonts w:ascii="Aptos" w:eastAsia="Times New Roman" w:hAnsi="Aptos"/>
          <w:color w:val="000000"/>
          <w:sz w:val="24"/>
          <w:szCs w:val="24"/>
        </w:rPr>
        <w:t>.</w:t>
      </w:r>
    </w:p>
    <w:p w14:paraId="240CD03D" w14:textId="3CE3521D" w:rsidR="00B7022D" w:rsidRPr="00B7022D" w:rsidRDefault="00B7022D" w:rsidP="0090262C">
      <w:pPr>
        <w:numPr>
          <w:ilvl w:val="0"/>
          <w:numId w:val="2"/>
        </w:numPr>
        <w:spacing w:after="0" w:line="240" w:lineRule="auto"/>
        <w:rPr>
          <w:rFonts w:eastAsia="Times New Roman" w:cstheme="minorHAnsi"/>
          <w:color w:val="000000"/>
        </w:rPr>
      </w:pPr>
      <w:r>
        <w:rPr>
          <w:rFonts w:ascii="Aptos" w:eastAsia="Times New Roman" w:hAnsi="Aptos"/>
          <w:color w:val="000000"/>
          <w:sz w:val="24"/>
          <w:szCs w:val="24"/>
        </w:rPr>
        <w:t>Conduct background research on the records’ creator and institutional context to support accurate and meaningful archival description</w:t>
      </w:r>
      <w:r>
        <w:rPr>
          <w:rFonts w:ascii="Aptos" w:eastAsia="Times New Roman" w:hAnsi="Aptos"/>
          <w:color w:val="000000"/>
          <w:sz w:val="24"/>
          <w:szCs w:val="24"/>
        </w:rPr>
        <w:t>.</w:t>
      </w:r>
    </w:p>
    <w:p w14:paraId="29072B8E" w14:textId="62C43E78" w:rsidR="00B7022D" w:rsidRPr="00B7022D" w:rsidRDefault="00B7022D" w:rsidP="0090262C">
      <w:pPr>
        <w:numPr>
          <w:ilvl w:val="0"/>
          <w:numId w:val="2"/>
        </w:numPr>
        <w:spacing w:after="0" w:line="240" w:lineRule="auto"/>
        <w:rPr>
          <w:rFonts w:eastAsia="Times New Roman" w:cstheme="minorHAnsi"/>
          <w:color w:val="000000"/>
        </w:rPr>
      </w:pPr>
      <w:r>
        <w:rPr>
          <w:rFonts w:ascii="Aptos" w:eastAsia="Times New Roman" w:hAnsi="Aptos"/>
          <w:color w:val="000000"/>
          <w:sz w:val="24"/>
          <w:szCs w:val="24"/>
        </w:rPr>
        <w:t>Perform basic preservation tasks as needed to stabilize materials and support long-term access and use</w:t>
      </w:r>
      <w:r>
        <w:rPr>
          <w:rFonts w:ascii="Aptos" w:eastAsia="Times New Roman" w:hAnsi="Aptos"/>
          <w:color w:val="000000"/>
          <w:sz w:val="24"/>
          <w:szCs w:val="24"/>
        </w:rPr>
        <w:t>.</w:t>
      </w:r>
    </w:p>
    <w:p w14:paraId="193F9B85" w14:textId="45D1DBA2" w:rsidR="00B7022D" w:rsidRPr="00B7022D" w:rsidRDefault="00B7022D" w:rsidP="0090262C">
      <w:pPr>
        <w:numPr>
          <w:ilvl w:val="0"/>
          <w:numId w:val="2"/>
        </w:numPr>
        <w:spacing w:after="0" w:line="240" w:lineRule="auto"/>
        <w:rPr>
          <w:rFonts w:eastAsia="Times New Roman" w:cstheme="minorHAnsi"/>
          <w:color w:val="000000"/>
        </w:rPr>
      </w:pPr>
      <w:r>
        <w:rPr>
          <w:rFonts w:ascii="Aptos" w:eastAsia="Times New Roman" w:hAnsi="Aptos"/>
          <w:color w:val="000000"/>
          <w:sz w:val="24"/>
          <w:szCs w:val="24"/>
        </w:rPr>
        <w:t>Prepare a concise historical or administrative note that provides context for the collection and supports researcher understanding</w:t>
      </w:r>
      <w:r>
        <w:rPr>
          <w:rFonts w:ascii="Aptos" w:eastAsia="Times New Roman" w:hAnsi="Aptos"/>
          <w:color w:val="000000"/>
          <w:sz w:val="24"/>
          <w:szCs w:val="24"/>
        </w:rPr>
        <w:t>.</w:t>
      </w:r>
    </w:p>
    <w:p w14:paraId="3D8493D0" w14:textId="7CC56682" w:rsidR="00B7022D" w:rsidRPr="00B7022D" w:rsidRDefault="00B7022D" w:rsidP="0090262C">
      <w:pPr>
        <w:numPr>
          <w:ilvl w:val="0"/>
          <w:numId w:val="2"/>
        </w:numPr>
        <w:spacing w:after="0" w:line="240" w:lineRule="auto"/>
        <w:rPr>
          <w:rFonts w:eastAsia="Times New Roman" w:cstheme="minorHAnsi"/>
          <w:color w:val="000000"/>
        </w:rPr>
      </w:pPr>
      <w:r>
        <w:rPr>
          <w:rFonts w:ascii="Aptos" w:eastAsia="Times New Roman" w:hAnsi="Aptos"/>
          <w:color w:val="000000"/>
          <w:sz w:val="24"/>
          <w:szCs w:val="24"/>
        </w:rPr>
        <w:t>Create a complete archival finding aid using established standards and prepare it for publication in New Mexico Archives Online</w:t>
      </w:r>
      <w:r>
        <w:rPr>
          <w:rFonts w:ascii="Aptos" w:eastAsia="Times New Roman" w:hAnsi="Aptos"/>
          <w:color w:val="000000"/>
          <w:sz w:val="24"/>
          <w:szCs w:val="24"/>
        </w:rPr>
        <w:t>.</w:t>
      </w:r>
    </w:p>
    <w:p w14:paraId="5BD88FB6" w14:textId="33973810" w:rsidR="00B7022D" w:rsidRPr="00B7022D" w:rsidRDefault="00B7022D" w:rsidP="0090262C">
      <w:pPr>
        <w:numPr>
          <w:ilvl w:val="0"/>
          <w:numId w:val="2"/>
        </w:numPr>
        <w:spacing w:after="0" w:line="240" w:lineRule="auto"/>
        <w:rPr>
          <w:rFonts w:eastAsia="Times New Roman" w:cstheme="minorHAnsi"/>
          <w:color w:val="000000"/>
        </w:rPr>
      </w:pPr>
      <w:r>
        <w:rPr>
          <w:rFonts w:ascii="Aptos" w:eastAsia="Times New Roman" w:hAnsi="Aptos"/>
          <w:color w:val="000000"/>
          <w:sz w:val="24"/>
          <w:szCs w:val="24"/>
        </w:rPr>
        <w:t>Assist with quality control and documentation to ensure consistency, accuracy, and adherence to archival best practices</w:t>
      </w:r>
      <w:r>
        <w:rPr>
          <w:rFonts w:ascii="Aptos" w:eastAsia="Times New Roman" w:hAnsi="Aptos"/>
          <w:color w:val="000000"/>
          <w:sz w:val="24"/>
          <w:szCs w:val="24"/>
        </w:rPr>
        <w:t>.</w:t>
      </w:r>
    </w:p>
    <w:p w14:paraId="1F9AB46A" w14:textId="77777777" w:rsidR="00B7022D" w:rsidRDefault="00B7022D" w:rsidP="0090262C">
      <w:pPr>
        <w:numPr>
          <w:ilvl w:val="0"/>
          <w:numId w:val="2"/>
        </w:numPr>
        <w:spacing w:after="0" w:line="240" w:lineRule="auto"/>
        <w:rPr>
          <w:rFonts w:eastAsia="Times New Roman" w:cstheme="minorHAnsi"/>
          <w:color w:val="000000"/>
        </w:rPr>
      </w:pPr>
      <w:r>
        <w:rPr>
          <w:rFonts w:ascii="Aptos" w:eastAsia="Times New Roman" w:hAnsi="Aptos"/>
          <w:color w:val="000000"/>
          <w:sz w:val="24"/>
          <w:szCs w:val="24"/>
        </w:rPr>
        <w:t>Collaborate with University Archives and CSWR staff to support instruction on the UNM Digital Repository as a space for better archiving the institutional present.</w:t>
      </w:r>
      <w:r w:rsidRPr="0090262C">
        <w:rPr>
          <w:rFonts w:eastAsia="Times New Roman" w:cstheme="minorHAnsi"/>
          <w:color w:val="000000"/>
        </w:rPr>
        <w:t xml:space="preserve"> </w:t>
      </w:r>
    </w:p>
    <w:p w14:paraId="005003ED" w14:textId="1E0E247E" w:rsidR="0090262C" w:rsidRPr="0090262C" w:rsidRDefault="0090262C" w:rsidP="0090262C">
      <w:pPr>
        <w:numPr>
          <w:ilvl w:val="0"/>
          <w:numId w:val="2"/>
        </w:numPr>
        <w:spacing w:after="0" w:line="240" w:lineRule="auto"/>
        <w:rPr>
          <w:rFonts w:eastAsia="Times New Roman" w:cstheme="minorHAnsi"/>
          <w:color w:val="000000"/>
        </w:rPr>
      </w:pPr>
      <w:r w:rsidRPr="0090262C">
        <w:rPr>
          <w:rFonts w:eastAsia="Times New Roman" w:cstheme="minorHAnsi"/>
          <w:color w:val="000000"/>
        </w:rPr>
        <w:t>Present on a topic related to the collection at the annual CSWR Symposium or a comparable venue.</w:t>
      </w:r>
    </w:p>
    <w:p w14:paraId="18B35445" w14:textId="77777777" w:rsidR="0090262C" w:rsidRPr="0090262C" w:rsidRDefault="0090262C" w:rsidP="0090262C">
      <w:pPr>
        <w:numPr>
          <w:ilvl w:val="0"/>
          <w:numId w:val="2"/>
        </w:numPr>
        <w:spacing w:after="0" w:line="240" w:lineRule="auto"/>
        <w:rPr>
          <w:rFonts w:eastAsia="Times New Roman" w:cstheme="minorHAnsi"/>
          <w:color w:val="000000"/>
        </w:rPr>
      </w:pPr>
      <w:r w:rsidRPr="0090262C">
        <w:rPr>
          <w:rFonts w:eastAsia="Times New Roman" w:cstheme="minorHAnsi"/>
          <w:color w:val="000000"/>
        </w:rPr>
        <w:t>Perform other duties as assigned.</w:t>
      </w:r>
    </w:p>
    <w:p w14:paraId="7955B3BA" w14:textId="0B089B1B" w:rsidR="00D53601" w:rsidRPr="0090262C" w:rsidRDefault="00D53601">
      <w:pPr>
        <w:rPr>
          <w:rFonts w:cstheme="minorHAnsi"/>
        </w:rPr>
      </w:pPr>
    </w:p>
    <w:p w14:paraId="73572952" w14:textId="77777777" w:rsidR="0090262C" w:rsidRPr="0090262C" w:rsidRDefault="0090262C" w:rsidP="0090262C">
      <w:pPr>
        <w:spacing w:after="0" w:line="240" w:lineRule="auto"/>
        <w:rPr>
          <w:rFonts w:eastAsia="Times New Roman" w:cstheme="minorHAnsi"/>
          <w:b/>
          <w:bCs/>
          <w:color w:val="000000"/>
        </w:rPr>
      </w:pPr>
      <w:r w:rsidRPr="0090262C">
        <w:rPr>
          <w:rFonts w:eastAsia="Times New Roman" w:cstheme="minorHAnsi"/>
          <w:b/>
          <w:bCs/>
          <w:color w:val="000000"/>
        </w:rPr>
        <w:t>Graduate Assistant Eligibility Requirements</w:t>
      </w:r>
    </w:p>
    <w:p w14:paraId="71D92A31" w14:textId="77777777" w:rsidR="0090262C" w:rsidRPr="0090262C" w:rsidRDefault="0090262C" w:rsidP="0090262C">
      <w:pPr>
        <w:spacing w:after="0" w:line="240" w:lineRule="auto"/>
        <w:rPr>
          <w:rFonts w:eastAsia="Times New Roman" w:cstheme="minorHAnsi"/>
          <w:color w:val="000000"/>
        </w:rPr>
      </w:pPr>
      <w:r w:rsidRPr="0090262C">
        <w:rPr>
          <w:rFonts w:eastAsia="Times New Roman" w:cstheme="minorHAnsi"/>
          <w:color w:val="000000"/>
        </w:rPr>
        <w:t>To be employed as a graduate assistant, the selected candidate must:</w:t>
      </w:r>
    </w:p>
    <w:p w14:paraId="3334A04C" w14:textId="77777777" w:rsidR="0090262C" w:rsidRPr="0090262C" w:rsidRDefault="0090262C" w:rsidP="0090262C">
      <w:pPr>
        <w:numPr>
          <w:ilvl w:val="0"/>
          <w:numId w:val="3"/>
        </w:numPr>
        <w:spacing w:after="0" w:line="240" w:lineRule="auto"/>
        <w:rPr>
          <w:rFonts w:eastAsia="Times New Roman" w:cstheme="minorHAnsi"/>
          <w:color w:val="000000"/>
        </w:rPr>
      </w:pPr>
      <w:r w:rsidRPr="0090262C">
        <w:rPr>
          <w:rFonts w:eastAsia="Times New Roman" w:cstheme="minorHAnsi"/>
          <w:color w:val="000000"/>
        </w:rPr>
        <w:t>Be formally admitted to a graduate program at the University of New Mexico.</w:t>
      </w:r>
    </w:p>
    <w:p w14:paraId="04F65F40" w14:textId="77777777" w:rsidR="0090262C" w:rsidRPr="0090262C" w:rsidRDefault="0090262C" w:rsidP="0090262C">
      <w:pPr>
        <w:numPr>
          <w:ilvl w:val="0"/>
          <w:numId w:val="3"/>
        </w:numPr>
        <w:spacing w:after="0" w:line="240" w:lineRule="auto"/>
        <w:rPr>
          <w:rFonts w:eastAsia="Times New Roman" w:cstheme="minorHAnsi"/>
          <w:color w:val="000000"/>
        </w:rPr>
      </w:pPr>
      <w:r w:rsidRPr="0090262C">
        <w:rPr>
          <w:rFonts w:eastAsia="Times New Roman" w:cstheme="minorHAnsi"/>
          <w:color w:val="000000"/>
        </w:rPr>
        <w:t>Be a graduate student in good standing, as determined by UNM administration.</w:t>
      </w:r>
    </w:p>
    <w:p w14:paraId="7AB0D358" w14:textId="77777777" w:rsidR="0090262C" w:rsidRPr="0090262C" w:rsidRDefault="0090262C" w:rsidP="0090262C">
      <w:pPr>
        <w:numPr>
          <w:ilvl w:val="0"/>
          <w:numId w:val="3"/>
        </w:numPr>
        <w:spacing w:after="0" w:line="240" w:lineRule="auto"/>
        <w:rPr>
          <w:rFonts w:eastAsia="Times New Roman" w:cstheme="minorHAnsi"/>
          <w:color w:val="000000"/>
        </w:rPr>
      </w:pPr>
      <w:r w:rsidRPr="0090262C">
        <w:rPr>
          <w:rFonts w:eastAsia="Times New Roman" w:cstheme="minorHAnsi"/>
          <w:color w:val="000000"/>
        </w:rPr>
        <w:t>Maintain enrollment in at least six (6) credit hours of graduate coursework, thesis, or dissertation hours during the fall and spring semesters.</w:t>
      </w:r>
    </w:p>
    <w:p w14:paraId="6CA8C08A" w14:textId="77777777" w:rsidR="0090262C" w:rsidRPr="0090262C" w:rsidRDefault="0090262C" w:rsidP="0090262C">
      <w:pPr>
        <w:numPr>
          <w:ilvl w:val="0"/>
          <w:numId w:val="3"/>
        </w:numPr>
        <w:spacing w:after="0" w:line="240" w:lineRule="auto"/>
        <w:rPr>
          <w:rFonts w:eastAsia="Times New Roman" w:cstheme="minorHAnsi"/>
          <w:color w:val="000000"/>
        </w:rPr>
      </w:pPr>
      <w:r w:rsidRPr="0090262C">
        <w:rPr>
          <w:rFonts w:eastAsia="Times New Roman" w:cstheme="minorHAnsi"/>
          <w:color w:val="000000"/>
        </w:rPr>
        <w:t>Maintain a minimum graduate GPA of 3.0 each semester.</w:t>
      </w:r>
    </w:p>
    <w:p w14:paraId="20EF6BCA" w14:textId="77777777" w:rsidR="0090262C" w:rsidRPr="0090262C" w:rsidRDefault="0090262C" w:rsidP="0090262C">
      <w:pPr>
        <w:numPr>
          <w:ilvl w:val="0"/>
          <w:numId w:val="3"/>
        </w:numPr>
        <w:spacing w:after="0" w:line="240" w:lineRule="auto"/>
        <w:rPr>
          <w:rFonts w:eastAsia="Times New Roman" w:cstheme="minorHAnsi"/>
          <w:color w:val="000000"/>
        </w:rPr>
      </w:pPr>
      <w:r w:rsidRPr="0090262C">
        <w:rPr>
          <w:rFonts w:eastAsia="Times New Roman" w:cstheme="minorHAnsi"/>
          <w:color w:val="000000"/>
        </w:rPr>
        <w:t>Remain within the degree-completion time limits specified in the UNM Graduate Catalog.</w:t>
      </w:r>
    </w:p>
    <w:p w14:paraId="7CE2FFF7" w14:textId="77777777" w:rsidR="0090262C" w:rsidRPr="0090262C" w:rsidRDefault="0090262C" w:rsidP="0090262C">
      <w:pPr>
        <w:spacing w:after="0" w:line="240" w:lineRule="auto"/>
        <w:rPr>
          <w:rFonts w:eastAsia="Times New Roman" w:cstheme="minorHAnsi"/>
          <w:b/>
          <w:bCs/>
          <w:color w:val="000000"/>
        </w:rPr>
      </w:pPr>
    </w:p>
    <w:p w14:paraId="1C06EF63" w14:textId="315AA119" w:rsidR="0090262C" w:rsidRPr="0090262C" w:rsidRDefault="0090262C" w:rsidP="0090262C">
      <w:pPr>
        <w:spacing w:after="0" w:line="240" w:lineRule="auto"/>
        <w:rPr>
          <w:rFonts w:eastAsia="Times New Roman" w:cstheme="minorHAnsi"/>
          <w:b/>
          <w:bCs/>
          <w:color w:val="000000"/>
        </w:rPr>
      </w:pPr>
      <w:r w:rsidRPr="0090262C">
        <w:rPr>
          <w:rFonts w:eastAsia="Times New Roman" w:cstheme="minorHAnsi"/>
          <w:b/>
          <w:bCs/>
          <w:color w:val="000000"/>
        </w:rPr>
        <w:t>Application Instructions</w:t>
      </w:r>
    </w:p>
    <w:p w14:paraId="511A7BFC" w14:textId="77777777" w:rsidR="0090262C" w:rsidRPr="0090262C" w:rsidRDefault="0090262C" w:rsidP="0090262C">
      <w:pPr>
        <w:spacing w:after="0" w:line="240" w:lineRule="auto"/>
        <w:rPr>
          <w:rFonts w:eastAsia="Times New Roman" w:cstheme="minorHAnsi"/>
          <w:color w:val="000000"/>
        </w:rPr>
      </w:pPr>
      <w:r w:rsidRPr="0090262C">
        <w:rPr>
          <w:rFonts w:eastAsia="Times New Roman" w:cstheme="minorHAnsi"/>
          <w:color w:val="000000"/>
        </w:rPr>
        <w:t>To be considered for this opportunity, applicants must submit:</w:t>
      </w:r>
    </w:p>
    <w:p w14:paraId="00135648" w14:textId="77777777" w:rsidR="0090262C" w:rsidRPr="0090262C" w:rsidRDefault="0090262C" w:rsidP="0090262C">
      <w:pPr>
        <w:numPr>
          <w:ilvl w:val="0"/>
          <w:numId w:val="4"/>
        </w:numPr>
        <w:spacing w:after="0" w:line="240" w:lineRule="auto"/>
        <w:rPr>
          <w:rFonts w:eastAsia="Times New Roman" w:cstheme="minorHAnsi"/>
          <w:color w:val="000000"/>
        </w:rPr>
      </w:pPr>
      <w:r w:rsidRPr="0090262C">
        <w:rPr>
          <w:rFonts w:eastAsia="Times New Roman" w:cstheme="minorHAnsi"/>
          <w:color w:val="000000"/>
        </w:rPr>
        <w:t>Letter of intent</w:t>
      </w:r>
    </w:p>
    <w:p w14:paraId="00E1B292" w14:textId="77777777" w:rsidR="0090262C" w:rsidRPr="0090262C" w:rsidRDefault="0090262C" w:rsidP="0090262C">
      <w:pPr>
        <w:numPr>
          <w:ilvl w:val="0"/>
          <w:numId w:val="4"/>
        </w:numPr>
        <w:spacing w:after="0" w:line="240" w:lineRule="auto"/>
        <w:rPr>
          <w:rFonts w:eastAsia="Times New Roman" w:cstheme="minorHAnsi"/>
          <w:color w:val="000000"/>
        </w:rPr>
      </w:pPr>
      <w:r w:rsidRPr="0090262C">
        <w:rPr>
          <w:rFonts w:eastAsia="Times New Roman" w:cstheme="minorHAnsi"/>
          <w:color w:val="000000"/>
        </w:rPr>
        <w:t>Curriculum vitae (CV) or résumé</w:t>
      </w:r>
    </w:p>
    <w:p w14:paraId="6D8C372C" w14:textId="77777777" w:rsidR="0090262C" w:rsidRPr="0090262C" w:rsidRDefault="0090262C" w:rsidP="0090262C">
      <w:pPr>
        <w:numPr>
          <w:ilvl w:val="0"/>
          <w:numId w:val="4"/>
        </w:numPr>
        <w:spacing w:after="0" w:line="240" w:lineRule="auto"/>
        <w:rPr>
          <w:rFonts w:eastAsia="Times New Roman" w:cstheme="minorHAnsi"/>
          <w:color w:val="000000"/>
        </w:rPr>
      </w:pPr>
      <w:r w:rsidRPr="0090262C">
        <w:rPr>
          <w:rFonts w:eastAsia="Times New Roman" w:cstheme="minorHAnsi"/>
          <w:color w:val="000000"/>
        </w:rPr>
        <w:t>Two letters of recommendation</w:t>
      </w:r>
    </w:p>
    <w:p w14:paraId="372D79F4" w14:textId="53130549" w:rsidR="0090262C" w:rsidRPr="0090262C" w:rsidRDefault="0090262C" w:rsidP="0090262C">
      <w:pPr>
        <w:spacing w:after="0" w:line="240" w:lineRule="auto"/>
        <w:rPr>
          <w:rFonts w:eastAsia="Times New Roman" w:cstheme="minorHAnsi"/>
          <w:color w:val="000000"/>
        </w:rPr>
      </w:pPr>
      <w:r w:rsidRPr="0090262C">
        <w:rPr>
          <w:rFonts w:eastAsia="Times New Roman" w:cstheme="minorHAnsi"/>
          <w:color w:val="000000"/>
        </w:rPr>
        <w:t xml:space="preserve">Complete applications must be submitted by </w:t>
      </w:r>
      <w:r w:rsidRPr="0090262C">
        <w:rPr>
          <w:rFonts w:eastAsia="Times New Roman" w:cstheme="minorHAnsi"/>
          <w:b/>
          <w:bCs/>
          <w:color w:val="000000"/>
        </w:rPr>
        <w:t>July 2</w:t>
      </w:r>
      <w:r w:rsidR="00B7022D">
        <w:rPr>
          <w:rFonts w:eastAsia="Times New Roman" w:cstheme="minorHAnsi"/>
          <w:b/>
          <w:bCs/>
          <w:color w:val="000000"/>
        </w:rPr>
        <w:t>2</w:t>
      </w:r>
      <w:r w:rsidRPr="0090262C">
        <w:rPr>
          <w:rFonts w:eastAsia="Times New Roman" w:cstheme="minorHAnsi"/>
          <w:b/>
          <w:bCs/>
          <w:color w:val="000000"/>
        </w:rPr>
        <w:t>, 2026</w:t>
      </w:r>
      <w:r w:rsidRPr="0090262C">
        <w:rPr>
          <w:rFonts w:eastAsia="Times New Roman" w:cstheme="minorHAnsi"/>
          <w:color w:val="000000"/>
        </w:rPr>
        <w:t>, to:</w:t>
      </w:r>
    </w:p>
    <w:p w14:paraId="46F3C518" w14:textId="77777777" w:rsidR="00B7022D" w:rsidRDefault="00B7022D" w:rsidP="0090262C">
      <w:pPr>
        <w:spacing w:after="0" w:line="240" w:lineRule="auto"/>
        <w:rPr>
          <w:rFonts w:eastAsia="Times New Roman" w:cstheme="minorHAnsi"/>
          <w:color w:val="000000"/>
        </w:rPr>
      </w:pPr>
      <w:r>
        <w:rPr>
          <w:rFonts w:eastAsia="Times New Roman" w:cstheme="minorHAnsi"/>
          <w:b/>
          <w:bCs/>
          <w:color w:val="000000"/>
        </w:rPr>
        <w:lastRenderedPageBreak/>
        <w:t>Portia Vescio</w:t>
      </w:r>
      <w:r w:rsidR="0090262C" w:rsidRPr="0090262C">
        <w:rPr>
          <w:rFonts w:eastAsia="Times New Roman" w:cstheme="minorHAnsi"/>
          <w:color w:val="000000"/>
        </w:rPr>
        <w:br/>
      </w:r>
      <w:r>
        <w:rPr>
          <w:rFonts w:eastAsia="Times New Roman" w:cstheme="minorHAnsi"/>
          <w:color w:val="000000"/>
        </w:rPr>
        <w:t>University Archivist</w:t>
      </w:r>
    </w:p>
    <w:p w14:paraId="66AC622D" w14:textId="3039E65B" w:rsidR="0090262C" w:rsidRPr="0090262C" w:rsidRDefault="0090262C" w:rsidP="0090262C">
      <w:pPr>
        <w:spacing w:after="0" w:line="240" w:lineRule="auto"/>
        <w:rPr>
          <w:rFonts w:eastAsia="Times New Roman" w:cstheme="minorHAnsi"/>
          <w:color w:val="000000"/>
        </w:rPr>
      </w:pPr>
      <w:r w:rsidRPr="0090262C">
        <w:rPr>
          <w:rFonts w:eastAsia="Times New Roman" w:cstheme="minorHAnsi"/>
          <w:color w:val="000000"/>
        </w:rPr>
        <w:t xml:space="preserve">Email: </w:t>
      </w:r>
      <w:hyperlink r:id="rId5" w:history="1">
        <w:r w:rsidR="00B7022D">
          <w:rPr>
            <w:rStyle w:val="Hyperlink"/>
            <w:rFonts w:eastAsia="Times New Roman" w:cstheme="minorHAnsi"/>
          </w:rPr>
          <w:t>pvescio@unm.edu</w:t>
        </w:r>
      </w:hyperlink>
    </w:p>
    <w:p w14:paraId="7E3F3EB2" w14:textId="77777777" w:rsidR="0090262C" w:rsidRPr="0090262C" w:rsidRDefault="0090262C" w:rsidP="0090262C">
      <w:pPr>
        <w:spacing w:after="0" w:line="240" w:lineRule="auto"/>
        <w:rPr>
          <w:rFonts w:eastAsia="Times New Roman" w:cstheme="minorHAnsi"/>
          <w:color w:val="000000"/>
        </w:rPr>
      </w:pPr>
      <w:r w:rsidRPr="0090262C">
        <w:rPr>
          <w:rFonts w:eastAsia="Times New Roman" w:cstheme="minorHAnsi"/>
          <w:color w:val="000000"/>
        </w:rPr>
        <w:t>Applications will be reviewed, and selected candidates will be invited for interviews.</w:t>
      </w:r>
    </w:p>
    <w:p w14:paraId="5B553783" w14:textId="77777777" w:rsidR="0090262C" w:rsidRPr="0090262C" w:rsidRDefault="0090262C" w:rsidP="0090262C">
      <w:pPr>
        <w:spacing w:after="0" w:line="240" w:lineRule="auto"/>
        <w:rPr>
          <w:rFonts w:eastAsia="Times New Roman" w:cstheme="minorHAnsi"/>
          <w:color w:val="000000"/>
        </w:rPr>
      </w:pPr>
      <w:r w:rsidRPr="0090262C">
        <w:rPr>
          <w:rFonts w:eastAsia="Times New Roman" w:cstheme="minorHAnsi"/>
          <w:color w:val="000000"/>
        </w:rPr>
        <w:t>Assistantship holders are represented by the United Electrical, Radio and Machine Workers of America (UE).</w:t>
      </w:r>
    </w:p>
    <w:p w14:paraId="6F3F7860" w14:textId="77777777" w:rsidR="0090262C" w:rsidRPr="00B45B6C" w:rsidRDefault="0090262C" w:rsidP="0090262C">
      <w:pPr>
        <w:spacing w:after="0" w:line="240" w:lineRule="auto"/>
      </w:pPr>
    </w:p>
    <w:p w14:paraId="64331241" w14:textId="77777777" w:rsidR="0090262C" w:rsidRDefault="0090262C"/>
    <w:sectPr w:rsidR="00902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F6186"/>
    <w:multiLevelType w:val="multilevel"/>
    <w:tmpl w:val="2DE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75873"/>
    <w:multiLevelType w:val="multilevel"/>
    <w:tmpl w:val="1A80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A426C"/>
    <w:multiLevelType w:val="multilevel"/>
    <w:tmpl w:val="F9A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848E8"/>
    <w:multiLevelType w:val="multilevel"/>
    <w:tmpl w:val="7AC0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3A"/>
    <w:rsid w:val="00807C3A"/>
    <w:rsid w:val="0090262C"/>
    <w:rsid w:val="00B7022D"/>
    <w:rsid w:val="00D5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61A5"/>
  <w15:chartTrackingRefBased/>
  <w15:docId w15:val="{6678E40B-7A28-4749-9CED-1836A32C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62C"/>
    <w:rPr>
      <w:color w:val="0563C1" w:themeColor="hyperlink"/>
      <w:u w:val="single"/>
    </w:rPr>
  </w:style>
  <w:style w:type="character" w:styleId="UnresolvedMention">
    <w:name w:val="Unresolved Mention"/>
    <w:basedOn w:val="DefaultParagraphFont"/>
    <w:uiPriority w:val="99"/>
    <w:semiHidden/>
    <w:unhideWhenUsed/>
    <w:rsid w:val="00902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vescio@un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Vescio</dc:creator>
  <cp:keywords/>
  <dc:description/>
  <cp:lastModifiedBy>Portia Vescio</cp:lastModifiedBy>
  <cp:revision>1</cp:revision>
  <dcterms:created xsi:type="dcterms:W3CDTF">2026-07-14T19:18:00Z</dcterms:created>
  <dcterms:modified xsi:type="dcterms:W3CDTF">2026-07-14T19:44:00Z</dcterms:modified>
</cp:coreProperties>
</file>